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bCs/>
          <w:color w:val="FFFFFF" w:themeColor="background1"/>
          <w:sz w:val="24"/>
          <w:szCs w:val="24"/>
          <w:highlight w:val="red"/>
          <w:lang w:val="en-US" w:eastAsia="zh-CN"/>
        </w:rPr>
        <w:t>8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" Two Way Wall Mount Speaker (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  <w:lang w:val="en-US" w:eastAsia="zh-CN"/>
        </w:rPr>
        <w:t>6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0W)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</w:t>
      </w:r>
      <w:r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 w:type="textWrapping"/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FWS-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  <w:lang w:val="en-US" w:eastAsia="zh-CN"/>
        </w:rPr>
        <w:t>560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</w:rPr>
        <w:t xml:space="preserve">   </w:t>
      </w:r>
      <w:r>
        <w:rPr>
          <w:rFonts w:hint="eastAsia" w:ascii="Verdana" w:hAnsi="Verdana" w:cs="Arial"/>
          <w:b/>
          <w:bCs/>
          <w:color w:val="FFFFFF" w:themeColor="background1"/>
          <w:sz w:val="24"/>
          <w:szCs w:val="24"/>
          <w:highlight w:val="darkCy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5036820</wp:posOffset>
            </wp:positionH>
            <wp:positionV relativeFrom="paragraph">
              <wp:posOffset>517525</wp:posOffset>
            </wp:positionV>
            <wp:extent cx="1548130" cy="2211705"/>
            <wp:effectExtent l="19050" t="0" r="0" b="0"/>
            <wp:wrapNone/>
            <wp:docPr id="2" name="图片 1" descr="52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20h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28" cy="221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Arial"/>
          <w:b/>
          <w:bCs/>
          <w:color w:val="000000" w:themeColor="text1"/>
          <w:sz w:val="18"/>
          <w:szCs w:val="18"/>
        </w:rPr>
        <w:br w:type="textWrapping"/>
      </w:r>
      <w:r>
        <w:rPr>
          <w:rFonts w:ascii="Verdana" w:hAnsi="Verdana" w:cs="Arial"/>
          <w:b/>
          <w:bCs/>
          <w:color w:val="000000" w:themeColor="text1"/>
          <w:sz w:val="18"/>
          <w:szCs w:val="18"/>
        </w:rPr>
        <w:br w:type="textWrapping"/>
      </w:r>
      <w:r>
        <w:rPr>
          <w:rFonts w:ascii="Verdana" w:hAnsi="Verdana" w:cs="Arial"/>
          <w:b/>
          <w:color w:val="000000" w:themeColor="text1"/>
          <w:sz w:val="18"/>
          <w:szCs w:val="18"/>
        </w:rPr>
        <w:t>Feature: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Commercial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PA system wall mount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speaker with transformer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Ideal for school, office, hotel and airport background music system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Economy rang fashion wall mount cabinet loudspeaker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Rated power output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7.5W-15W-30W-60</w:t>
      </w:r>
      <w:r>
        <w:rPr>
          <w:rFonts w:ascii="Verdana" w:hAnsi="Verdana" w:cs="Arial"/>
          <w:color w:val="000000" w:themeColor="text1"/>
          <w:sz w:val="18"/>
          <w:szCs w:val="18"/>
        </w:rPr>
        <w:t>W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Arial"/>
          <w:color w:val="000000" w:themeColor="text1"/>
          <w:sz w:val="18"/>
          <w:szCs w:val="18"/>
        </w:rPr>
        <w:t>at 100V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8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"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woofer and 2</w:t>
      </w:r>
      <w:r>
        <w:rPr>
          <w:rFonts w:ascii="Verdana" w:hAnsi="Verdana" w:cs="Arial"/>
          <w:color w:val="000000" w:themeColor="text1"/>
          <w:sz w:val="18"/>
          <w:szCs w:val="18"/>
        </w:rPr>
        <w:t>”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 tweeter two way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speaker units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Line input 100V or 70V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With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100V &amp;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low impedance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8Ω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power </w:t>
      </w:r>
      <w:r>
        <w:rPr>
          <w:rFonts w:ascii="Verdana" w:hAnsi="Verdana" w:cs="Arial"/>
          <w:color w:val="000000" w:themeColor="text1"/>
          <w:sz w:val="18"/>
          <w:szCs w:val="18"/>
        </w:rPr>
        <w:t>selector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ABS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enclosure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,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metal grille in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black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Q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uick installation by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supplied stainless mounting bracket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i/>
          <w:color w:val="000000" w:themeColor="text1"/>
          <w:sz w:val="18"/>
          <w:szCs w:val="18"/>
          <w:lang w:val="en-US" w:eastAsia="zh-CN"/>
        </w:rPr>
        <w:t>FWS-560W</w:t>
      </w:r>
      <w:r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 as option of white finish</w:t>
      </w:r>
    </w:p>
    <w:p>
      <w:pPr>
        <w:rPr>
          <w:rFonts w:ascii="Verdana" w:hAnsi="Verdana" w:cs="Arial"/>
          <w:color w:val="000000" w:themeColor="text1"/>
          <w:sz w:val="18"/>
          <w:szCs w:val="18"/>
        </w:rPr>
      </w:pPr>
    </w:p>
    <w:p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color w:val="000000" w:themeColor="text1"/>
          <w:sz w:val="18"/>
          <w:szCs w:val="18"/>
        </w:rPr>
        <w:t>Specification: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>
            <w:pPr>
              <w:rPr>
                <w:rFonts w:hint="default" w:ascii="Verdana" w:hAnsi="Verdana" w:eastAsia="宋体" w:cs="Arial"/>
                <w:b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Arial"/>
                <w:b/>
                <w:color w:val="000000" w:themeColor="text1"/>
                <w:sz w:val="18"/>
                <w:szCs w:val="18"/>
                <w:lang w:val="en-US" w:eastAsia="zh-CN"/>
              </w:rPr>
              <w:t>FWS-560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Two Way Wall Mount Speaker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7.5W-15W-30W-60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100V or 70V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0-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92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woofer and 2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tweeter two way speaker 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417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)×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289(D)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×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255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(H)mm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ABS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enclosure and metal grille in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black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uick installation by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supplied stainless mounting bracket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b/>
                <w:color w:val="000000" w:themeColor="text1"/>
                <w:sz w:val="18"/>
                <w:szCs w:val="18"/>
              </w:rPr>
              <w:t>Weight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6.6kg</w:t>
            </w:r>
          </w:p>
        </w:tc>
      </w:tr>
    </w:tbl>
    <w:p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99060</wp:posOffset>
            </wp:positionV>
            <wp:extent cx="2830830" cy="1722120"/>
            <wp:effectExtent l="19050" t="0" r="7620" b="0"/>
            <wp:wrapNone/>
            <wp:docPr id="5" name="图片 4" descr="860h dim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860h dimensio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Verdana" w:hAnsi="Verdana"/>
          <w:b/>
          <w:color w:val="000000" w:themeColor="text1"/>
          <w:sz w:val="18"/>
          <w:szCs w:val="18"/>
        </w:rPr>
        <w:t>Side View &amp; Dimensions</w:t>
      </w:r>
      <w:r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15240</wp:posOffset>
            </wp:positionV>
            <wp:extent cx="2570480" cy="1371600"/>
            <wp:effectExtent l="19050" t="0" r="1270" b="0"/>
            <wp:wrapNone/>
            <wp:docPr id="3" name="图片 2" descr="QQ圖片2014120115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圖片20141201153608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Verdana" w:hAnsi="Verdana" w:cs="Arial"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  <w:bookmarkStart w:id="0" w:name="_GoBack"/>
      <w:bookmarkEnd w:id="0"/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Frequency Response VS SPL</w:t>
      </w:r>
      <w:r>
        <w:rPr>
          <w:rFonts w:hint="eastAsia" w:ascii="Verdana" w:hAnsi="Verdana"/>
          <w:b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b/>
          <w:color w:val="000000" w:themeColor="text1"/>
          <w:sz w:val="18"/>
          <w:szCs w:val="18"/>
        </w:rPr>
        <w:t>Diagram:</w:t>
      </w:r>
    </w:p>
    <w:p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drawing>
          <wp:inline distT="0" distB="0" distL="0" distR="0">
            <wp:extent cx="6465570" cy="1896110"/>
            <wp:effectExtent l="19050" t="0" r="0" b="0"/>
            <wp:docPr id="6" name="图片 5" descr="860H f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860H fre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70" cy="189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ptab w:relativeTo="margin" w:alignment="center" w:leader="none"/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9D6"/>
    <w:multiLevelType w:val="multilevel"/>
    <w:tmpl w:val="091759D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26D6"/>
    <w:rsid w:val="000062C5"/>
    <w:rsid w:val="00052572"/>
    <w:rsid w:val="00075915"/>
    <w:rsid w:val="000832B9"/>
    <w:rsid w:val="00085814"/>
    <w:rsid w:val="000901EA"/>
    <w:rsid w:val="00090D14"/>
    <w:rsid w:val="000A4AA5"/>
    <w:rsid w:val="000D5E25"/>
    <w:rsid w:val="00103C0F"/>
    <w:rsid w:val="00116EF4"/>
    <w:rsid w:val="0012355D"/>
    <w:rsid w:val="001607B7"/>
    <w:rsid w:val="0016672B"/>
    <w:rsid w:val="00172F4E"/>
    <w:rsid w:val="00177996"/>
    <w:rsid w:val="00180A7B"/>
    <w:rsid w:val="00187893"/>
    <w:rsid w:val="001A76EC"/>
    <w:rsid w:val="001C0DBE"/>
    <w:rsid w:val="001C210E"/>
    <w:rsid w:val="001C6BA0"/>
    <w:rsid w:val="001C7FB5"/>
    <w:rsid w:val="001D39C1"/>
    <w:rsid w:val="001D42A8"/>
    <w:rsid w:val="001E25C6"/>
    <w:rsid w:val="00217E1F"/>
    <w:rsid w:val="00224FE9"/>
    <w:rsid w:val="002314E3"/>
    <w:rsid w:val="00260D4E"/>
    <w:rsid w:val="00277747"/>
    <w:rsid w:val="0028263F"/>
    <w:rsid w:val="002A1262"/>
    <w:rsid w:val="002B0D5D"/>
    <w:rsid w:val="002B4531"/>
    <w:rsid w:val="002E5FC2"/>
    <w:rsid w:val="00310E9A"/>
    <w:rsid w:val="0033102E"/>
    <w:rsid w:val="00336332"/>
    <w:rsid w:val="0034762D"/>
    <w:rsid w:val="00385061"/>
    <w:rsid w:val="003C4BD1"/>
    <w:rsid w:val="003F0D6A"/>
    <w:rsid w:val="003F561B"/>
    <w:rsid w:val="0040767F"/>
    <w:rsid w:val="00423ACB"/>
    <w:rsid w:val="0042703B"/>
    <w:rsid w:val="0045238C"/>
    <w:rsid w:val="00475992"/>
    <w:rsid w:val="00486F34"/>
    <w:rsid w:val="004904E6"/>
    <w:rsid w:val="00497185"/>
    <w:rsid w:val="004A53A6"/>
    <w:rsid w:val="004B142B"/>
    <w:rsid w:val="004B3F08"/>
    <w:rsid w:val="004D0C13"/>
    <w:rsid w:val="004F1428"/>
    <w:rsid w:val="004F2129"/>
    <w:rsid w:val="005129BB"/>
    <w:rsid w:val="005279AD"/>
    <w:rsid w:val="00534B81"/>
    <w:rsid w:val="00535868"/>
    <w:rsid w:val="005466C2"/>
    <w:rsid w:val="00546912"/>
    <w:rsid w:val="00555A82"/>
    <w:rsid w:val="005840E9"/>
    <w:rsid w:val="00595F13"/>
    <w:rsid w:val="005A482C"/>
    <w:rsid w:val="005D3397"/>
    <w:rsid w:val="005F0188"/>
    <w:rsid w:val="005F07C4"/>
    <w:rsid w:val="005F0CC9"/>
    <w:rsid w:val="006204E0"/>
    <w:rsid w:val="0062773E"/>
    <w:rsid w:val="00644027"/>
    <w:rsid w:val="00644FAB"/>
    <w:rsid w:val="00645CBD"/>
    <w:rsid w:val="00650F86"/>
    <w:rsid w:val="00662D14"/>
    <w:rsid w:val="00672B1A"/>
    <w:rsid w:val="006804AF"/>
    <w:rsid w:val="006A047A"/>
    <w:rsid w:val="006B7737"/>
    <w:rsid w:val="006C005A"/>
    <w:rsid w:val="006E4DAF"/>
    <w:rsid w:val="006E7479"/>
    <w:rsid w:val="006F073C"/>
    <w:rsid w:val="0071207F"/>
    <w:rsid w:val="00717108"/>
    <w:rsid w:val="00726874"/>
    <w:rsid w:val="007268E4"/>
    <w:rsid w:val="00726AEC"/>
    <w:rsid w:val="00737464"/>
    <w:rsid w:val="0074546D"/>
    <w:rsid w:val="00751C27"/>
    <w:rsid w:val="00761402"/>
    <w:rsid w:val="007A672D"/>
    <w:rsid w:val="007A6E3A"/>
    <w:rsid w:val="007C559F"/>
    <w:rsid w:val="008039C7"/>
    <w:rsid w:val="00815AB4"/>
    <w:rsid w:val="0088036B"/>
    <w:rsid w:val="008946B5"/>
    <w:rsid w:val="008959A9"/>
    <w:rsid w:val="008B59DD"/>
    <w:rsid w:val="008B7719"/>
    <w:rsid w:val="008C3486"/>
    <w:rsid w:val="008D1099"/>
    <w:rsid w:val="008D76C7"/>
    <w:rsid w:val="008E044F"/>
    <w:rsid w:val="008E478F"/>
    <w:rsid w:val="00901FD2"/>
    <w:rsid w:val="00935438"/>
    <w:rsid w:val="00965E14"/>
    <w:rsid w:val="009936A3"/>
    <w:rsid w:val="009A47F5"/>
    <w:rsid w:val="009A4EFC"/>
    <w:rsid w:val="009C69C0"/>
    <w:rsid w:val="00A147E9"/>
    <w:rsid w:val="00A16A78"/>
    <w:rsid w:val="00A257BA"/>
    <w:rsid w:val="00A565A0"/>
    <w:rsid w:val="00A65BEC"/>
    <w:rsid w:val="00A848C7"/>
    <w:rsid w:val="00A86DCE"/>
    <w:rsid w:val="00A9060D"/>
    <w:rsid w:val="00AB13C9"/>
    <w:rsid w:val="00AB4C14"/>
    <w:rsid w:val="00AD3B1D"/>
    <w:rsid w:val="00AD5E42"/>
    <w:rsid w:val="00B020D3"/>
    <w:rsid w:val="00B1418C"/>
    <w:rsid w:val="00B14CE3"/>
    <w:rsid w:val="00B34FE5"/>
    <w:rsid w:val="00B742D4"/>
    <w:rsid w:val="00B76799"/>
    <w:rsid w:val="00B81158"/>
    <w:rsid w:val="00B8363B"/>
    <w:rsid w:val="00B84750"/>
    <w:rsid w:val="00B90B1F"/>
    <w:rsid w:val="00B9615C"/>
    <w:rsid w:val="00BC1025"/>
    <w:rsid w:val="00BD2050"/>
    <w:rsid w:val="00BF20A9"/>
    <w:rsid w:val="00C30DD0"/>
    <w:rsid w:val="00C54292"/>
    <w:rsid w:val="00C570B8"/>
    <w:rsid w:val="00C84E8A"/>
    <w:rsid w:val="00C9067A"/>
    <w:rsid w:val="00CA3889"/>
    <w:rsid w:val="00CB702B"/>
    <w:rsid w:val="00CF3F13"/>
    <w:rsid w:val="00CF4D3B"/>
    <w:rsid w:val="00D03E29"/>
    <w:rsid w:val="00D04ED2"/>
    <w:rsid w:val="00D12912"/>
    <w:rsid w:val="00D22230"/>
    <w:rsid w:val="00D47843"/>
    <w:rsid w:val="00D62438"/>
    <w:rsid w:val="00D72476"/>
    <w:rsid w:val="00D76614"/>
    <w:rsid w:val="00D84BE2"/>
    <w:rsid w:val="00D91C51"/>
    <w:rsid w:val="00D920CF"/>
    <w:rsid w:val="00DB61DC"/>
    <w:rsid w:val="00DC5B64"/>
    <w:rsid w:val="00DD3A51"/>
    <w:rsid w:val="00DF0A43"/>
    <w:rsid w:val="00DF4BC1"/>
    <w:rsid w:val="00DF75A5"/>
    <w:rsid w:val="00E04427"/>
    <w:rsid w:val="00E10BC6"/>
    <w:rsid w:val="00E114AF"/>
    <w:rsid w:val="00E11CD7"/>
    <w:rsid w:val="00E32F83"/>
    <w:rsid w:val="00E37354"/>
    <w:rsid w:val="00E52A3E"/>
    <w:rsid w:val="00E750AA"/>
    <w:rsid w:val="00E96A2F"/>
    <w:rsid w:val="00EA66CA"/>
    <w:rsid w:val="00EB2DA2"/>
    <w:rsid w:val="00EB3E68"/>
    <w:rsid w:val="00EF60B1"/>
    <w:rsid w:val="00F0149E"/>
    <w:rsid w:val="00F12B49"/>
    <w:rsid w:val="00F33576"/>
    <w:rsid w:val="00F42697"/>
    <w:rsid w:val="00F449D9"/>
    <w:rsid w:val="00F764F5"/>
    <w:rsid w:val="00F7724D"/>
    <w:rsid w:val="00F775C9"/>
    <w:rsid w:val="00F860E4"/>
    <w:rsid w:val="00F92BCB"/>
    <w:rsid w:val="00FC4939"/>
    <w:rsid w:val="00FE089E"/>
    <w:rsid w:val="00FE4DFF"/>
    <w:rsid w:val="00FF2141"/>
    <w:rsid w:val="3D5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1382</Characters>
  <Lines>11</Lines>
  <Paragraphs>3</Paragraphs>
  <TotalTime>0</TotalTime>
  <ScaleCrop>false</ScaleCrop>
  <LinksUpToDate>false</LinksUpToDate>
  <CharactersWithSpaces>1621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2014-04-08T02:27:00Z</dcterms:created>
  <dc:creator>dell</dc:creator>
  <cp:lastModifiedBy>FTD</cp:lastModifiedBy>
  <cp:lastPrinted>2014-10-24T09:12:00Z</cp:lastPrinted>
  <dcterms:modified xsi:type="dcterms:W3CDTF">2019-06-20T10:24:15Z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